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3FD98" w14:textId="77777777" w:rsidR="0037606E" w:rsidRPr="0037606E" w:rsidRDefault="0037606E" w:rsidP="0037606E">
      <w:pPr>
        <w:rPr>
          <w:b/>
          <w:bCs/>
          <w:lang w:val="en-GB"/>
        </w:rPr>
      </w:pPr>
      <w:r w:rsidRPr="0037606E">
        <w:rPr>
          <w:b/>
          <w:bCs/>
          <w:lang w:val="en-GB"/>
        </w:rPr>
        <w:t>ETVE (Spanish Holding Company for Foreign Securities)</w:t>
      </w:r>
    </w:p>
    <w:p w14:paraId="177481AB" w14:textId="77777777" w:rsidR="0037606E" w:rsidRPr="0037606E" w:rsidRDefault="0037606E" w:rsidP="0037606E">
      <w:pPr>
        <w:rPr>
          <w:lang w:val="en-GB"/>
        </w:rPr>
      </w:pPr>
      <w:r w:rsidRPr="0037606E">
        <w:rPr>
          <w:lang w:val="en-GB"/>
        </w:rPr>
        <w:t xml:space="preserve">An </w:t>
      </w:r>
      <w:r w:rsidRPr="0037606E">
        <w:rPr>
          <w:b/>
          <w:bCs/>
          <w:lang w:val="en-GB"/>
        </w:rPr>
        <w:t>ETVE (</w:t>
      </w:r>
      <w:proofErr w:type="spellStart"/>
      <w:r w:rsidRPr="0037606E">
        <w:rPr>
          <w:b/>
          <w:bCs/>
          <w:lang w:val="en-GB"/>
        </w:rPr>
        <w:t>Entidad</w:t>
      </w:r>
      <w:proofErr w:type="spellEnd"/>
      <w:r w:rsidRPr="0037606E">
        <w:rPr>
          <w:b/>
          <w:bCs/>
          <w:lang w:val="en-GB"/>
        </w:rPr>
        <w:t xml:space="preserve"> de </w:t>
      </w:r>
      <w:proofErr w:type="spellStart"/>
      <w:r w:rsidRPr="0037606E">
        <w:rPr>
          <w:b/>
          <w:bCs/>
          <w:lang w:val="en-GB"/>
        </w:rPr>
        <w:t>Tenencia</w:t>
      </w:r>
      <w:proofErr w:type="spellEnd"/>
      <w:r w:rsidRPr="0037606E">
        <w:rPr>
          <w:b/>
          <w:bCs/>
          <w:lang w:val="en-GB"/>
        </w:rPr>
        <w:t xml:space="preserve"> de Valores </w:t>
      </w:r>
      <w:proofErr w:type="spellStart"/>
      <w:r w:rsidRPr="0037606E">
        <w:rPr>
          <w:b/>
          <w:bCs/>
          <w:lang w:val="en-GB"/>
        </w:rPr>
        <w:t>Extranjeros</w:t>
      </w:r>
      <w:proofErr w:type="spellEnd"/>
      <w:r w:rsidRPr="0037606E">
        <w:rPr>
          <w:b/>
          <w:bCs/>
          <w:lang w:val="en-GB"/>
        </w:rPr>
        <w:t>)</w:t>
      </w:r>
      <w:r w:rsidRPr="0037606E">
        <w:rPr>
          <w:lang w:val="en-GB"/>
        </w:rPr>
        <w:t xml:space="preserve"> is a type of Spanish corporate entity that can benefit from a </w:t>
      </w:r>
      <w:r w:rsidRPr="0037606E">
        <w:rPr>
          <w:b/>
          <w:bCs/>
          <w:lang w:val="en-GB"/>
        </w:rPr>
        <w:t>special tax regime</w:t>
      </w:r>
      <w:r w:rsidRPr="0037606E">
        <w:rPr>
          <w:lang w:val="en-GB"/>
        </w:rPr>
        <w:t xml:space="preserve">, governed by Articles 107 and following of the </w:t>
      </w:r>
      <w:r w:rsidRPr="0037606E">
        <w:rPr>
          <w:b/>
          <w:bCs/>
          <w:lang w:val="en-GB"/>
        </w:rPr>
        <w:t>Spanish Corporate Income Tax Law (LIS)</w:t>
      </w:r>
      <w:r w:rsidRPr="0037606E">
        <w:rPr>
          <w:lang w:val="en-GB"/>
        </w:rPr>
        <w:t xml:space="preserve">. Its main purpose is to serve as a </w:t>
      </w:r>
      <w:r w:rsidRPr="0037606E">
        <w:rPr>
          <w:b/>
          <w:bCs/>
          <w:lang w:val="en-GB"/>
        </w:rPr>
        <w:t>holding and management vehicle for shareholdings in non-resident companies</w:t>
      </w:r>
      <w:r w:rsidRPr="0037606E">
        <w:rPr>
          <w:lang w:val="en-GB"/>
        </w:rPr>
        <w:t>, allowing the routing of foreign investments through Spain with significant tax advantages.</w:t>
      </w:r>
    </w:p>
    <w:p w14:paraId="6B9F419A" w14:textId="77777777" w:rsidR="0037606E" w:rsidRPr="0037606E" w:rsidRDefault="0037606E" w:rsidP="0037606E">
      <w:r w:rsidRPr="0037606E">
        <w:pict w14:anchorId="2BFF939D">
          <v:rect id="_x0000_i1043" style="width:0;height:1.5pt" o:hralign="center" o:hrstd="t" o:hr="t" fillcolor="#a0a0a0" stroked="f"/>
        </w:pict>
      </w:r>
    </w:p>
    <w:p w14:paraId="57A4B1E5" w14:textId="77777777" w:rsidR="0037606E" w:rsidRPr="0037606E" w:rsidRDefault="0037606E" w:rsidP="0037606E">
      <w:pPr>
        <w:rPr>
          <w:b/>
          <w:bCs/>
          <w:lang w:val="en-GB"/>
        </w:rPr>
      </w:pPr>
      <w:r w:rsidRPr="0037606E">
        <w:rPr>
          <w:rFonts w:ascii="Segoe UI Emoji" w:hAnsi="Segoe UI Emoji" w:cs="Segoe UI Emoji"/>
          <w:b/>
          <w:bCs/>
        </w:rPr>
        <w:t>📌</w:t>
      </w:r>
      <w:r w:rsidRPr="0037606E">
        <w:rPr>
          <w:b/>
          <w:bCs/>
          <w:lang w:val="en-GB"/>
        </w:rPr>
        <w:t xml:space="preserve"> Key Features of an ETVE</w:t>
      </w:r>
    </w:p>
    <w:p w14:paraId="64498F42" w14:textId="77777777" w:rsidR="0037606E" w:rsidRPr="0037606E" w:rsidRDefault="0037606E" w:rsidP="0037606E">
      <w:pPr>
        <w:numPr>
          <w:ilvl w:val="0"/>
          <w:numId w:val="1"/>
        </w:numPr>
        <w:rPr>
          <w:lang w:val="en-GB"/>
        </w:rPr>
      </w:pPr>
      <w:r w:rsidRPr="0037606E">
        <w:rPr>
          <w:b/>
          <w:bCs/>
          <w:lang w:val="en-GB"/>
        </w:rPr>
        <w:t>Legal form</w:t>
      </w:r>
      <w:r w:rsidRPr="0037606E">
        <w:rPr>
          <w:lang w:val="en-GB"/>
        </w:rPr>
        <w:t xml:space="preserve">: An ETVE may be incorporated as a </w:t>
      </w:r>
      <w:r w:rsidRPr="0037606E">
        <w:rPr>
          <w:b/>
          <w:bCs/>
          <w:lang w:val="en-GB"/>
        </w:rPr>
        <w:t xml:space="preserve">Sociedad </w:t>
      </w:r>
      <w:proofErr w:type="spellStart"/>
      <w:r w:rsidRPr="0037606E">
        <w:rPr>
          <w:b/>
          <w:bCs/>
          <w:lang w:val="en-GB"/>
        </w:rPr>
        <w:t>Anónima</w:t>
      </w:r>
      <w:proofErr w:type="spellEnd"/>
      <w:r w:rsidRPr="0037606E">
        <w:rPr>
          <w:b/>
          <w:bCs/>
          <w:lang w:val="en-GB"/>
        </w:rPr>
        <w:t xml:space="preserve"> (S.A.)</w:t>
      </w:r>
      <w:r w:rsidRPr="0037606E">
        <w:rPr>
          <w:lang w:val="en-GB"/>
        </w:rPr>
        <w:t xml:space="preserve"> or </w:t>
      </w:r>
      <w:r w:rsidRPr="0037606E">
        <w:rPr>
          <w:b/>
          <w:bCs/>
          <w:lang w:val="en-GB"/>
        </w:rPr>
        <w:t>Sociedad Limitada (S.L.)</w:t>
      </w:r>
      <w:r w:rsidRPr="0037606E">
        <w:rPr>
          <w:lang w:val="en-GB"/>
        </w:rPr>
        <w:t xml:space="preserve">, but it must maintain </w:t>
      </w:r>
      <w:r w:rsidRPr="0037606E">
        <w:rPr>
          <w:b/>
          <w:bCs/>
          <w:lang w:val="en-GB"/>
        </w:rPr>
        <w:t>separate accounting</w:t>
      </w:r>
      <w:r w:rsidRPr="0037606E">
        <w:rPr>
          <w:lang w:val="en-GB"/>
        </w:rPr>
        <w:t xml:space="preserve"> for income qualifying under the ETVE regime.</w:t>
      </w:r>
    </w:p>
    <w:p w14:paraId="7509B47C" w14:textId="77777777" w:rsidR="0037606E" w:rsidRPr="0037606E" w:rsidRDefault="0037606E" w:rsidP="0037606E">
      <w:pPr>
        <w:numPr>
          <w:ilvl w:val="0"/>
          <w:numId w:val="1"/>
        </w:numPr>
        <w:rPr>
          <w:lang w:val="en-GB"/>
        </w:rPr>
      </w:pPr>
      <w:r w:rsidRPr="0037606E">
        <w:rPr>
          <w:b/>
          <w:bCs/>
          <w:lang w:val="en-GB"/>
        </w:rPr>
        <w:t>Corporate purpose</w:t>
      </w:r>
      <w:r w:rsidRPr="0037606E">
        <w:rPr>
          <w:lang w:val="en-GB"/>
        </w:rPr>
        <w:t xml:space="preserve">: Primarily focused on the </w:t>
      </w:r>
      <w:r w:rsidRPr="0037606E">
        <w:rPr>
          <w:b/>
          <w:bCs/>
          <w:lang w:val="en-GB"/>
        </w:rPr>
        <w:t>management and holding of shares in non-resident entities</w:t>
      </w:r>
      <w:r w:rsidRPr="0037606E">
        <w:rPr>
          <w:lang w:val="en-GB"/>
        </w:rPr>
        <w:t>. Other business activities may be carried out, provided they are not predominant.</w:t>
      </w:r>
    </w:p>
    <w:p w14:paraId="105DED44" w14:textId="77777777" w:rsidR="0037606E" w:rsidRPr="0037606E" w:rsidRDefault="0037606E" w:rsidP="0037606E">
      <w:pPr>
        <w:numPr>
          <w:ilvl w:val="0"/>
          <w:numId w:val="1"/>
        </w:numPr>
      </w:pPr>
      <w:proofErr w:type="spellStart"/>
      <w:r w:rsidRPr="0037606E">
        <w:rPr>
          <w:b/>
          <w:bCs/>
        </w:rPr>
        <w:t>Special</w:t>
      </w:r>
      <w:proofErr w:type="spellEnd"/>
      <w:r w:rsidRPr="0037606E">
        <w:rPr>
          <w:b/>
          <w:bCs/>
        </w:rPr>
        <w:t xml:space="preserve"> </w:t>
      </w:r>
      <w:proofErr w:type="spellStart"/>
      <w:r w:rsidRPr="0037606E">
        <w:rPr>
          <w:b/>
          <w:bCs/>
        </w:rPr>
        <w:t>tax</w:t>
      </w:r>
      <w:proofErr w:type="spellEnd"/>
      <w:r w:rsidRPr="0037606E">
        <w:rPr>
          <w:b/>
          <w:bCs/>
        </w:rPr>
        <w:t xml:space="preserve"> </w:t>
      </w:r>
      <w:proofErr w:type="spellStart"/>
      <w:r w:rsidRPr="0037606E">
        <w:rPr>
          <w:b/>
          <w:bCs/>
        </w:rPr>
        <w:t>regime</w:t>
      </w:r>
      <w:proofErr w:type="spellEnd"/>
      <w:r w:rsidRPr="0037606E">
        <w:t>:</w:t>
      </w:r>
    </w:p>
    <w:p w14:paraId="7E63F2AF" w14:textId="77777777" w:rsidR="0037606E" w:rsidRPr="0037606E" w:rsidRDefault="0037606E" w:rsidP="0037606E">
      <w:pPr>
        <w:numPr>
          <w:ilvl w:val="1"/>
          <w:numId w:val="1"/>
        </w:numPr>
        <w:rPr>
          <w:lang w:val="en-GB"/>
        </w:rPr>
      </w:pPr>
      <w:r w:rsidRPr="0037606E">
        <w:rPr>
          <w:b/>
          <w:bCs/>
          <w:lang w:val="en-GB"/>
        </w:rPr>
        <w:t>Exemption from Corporate Income Tax</w:t>
      </w:r>
      <w:r w:rsidRPr="0037606E">
        <w:rPr>
          <w:lang w:val="en-GB"/>
        </w:rPr>
        <w:t xml:space="preserve"> on dividends and capital gains derived from shareholdings in non-resident companies.</w:t>
      </w:r>
    </w:p>
    <w:p w14:paraId="5B62317D" w14:textId="77777777" w:rsidR="0037606E" w:rsidRPr="0037606E" w:rsidRDefault="0037606E" w:rsidP="0037606E">
      <w:pPr>
        <w:numPr>
          <w:ilvl w:val="1"/>
          <w:numId w:val="1"/>
        </w:numPr>
        <w:rPr>
          <w:lang w:val="en-GB"/>
        </w:rPr>
      </w:pPr>
      <w:r w:rsidRPr="0037606E">
        <w:rPr>
          <w:b/>
          <w:bCs/>
          <w:lang w:val="en-GB"/>
        </w:rPr>
        <w:t>Exemption from withholding tax</w:t>
      </w:r>
      <w:r w:rsidRPr="0037606E">
        <w:rPr>
          <w:lang w:val="en-GB"/>
        </w:rPr>
        <w:t xml:space="preserve"> on dividends distributed to </w:t>
      </w:r>
      <w:r w:rsidRPr="0037606E">
        <w:rPr>
          <w:b/>
          <w:bCs/>
          <w:lang w:val="en-GB"/>
        </w:rPr>
        <w:t>non-resident shareholders</w:t>
      </w:r>
      <w:r w:rsidRPr="0037606E">
        <w:rPr>
          <w:lang w:val="en-GB"/>
        </w:rPr>
        <w:t>, provided they are not resident in tax havens and meet specific requirements.</w:t>
      </w:r>
    </w:p>
    <w:p w14:paraId="61116372" w14:textId="77777777" w:rsidR="0037606E" w:rsidRPr="0037606E" w:rsidRDefault="0037606E" w:rsidP="0037606E">
      <w:r w:rsidRPr="0037606E">
        <w:pict w14:anchorId="06CEA9D5">
          <v:rect id="_x0000_i1044" style="width:0;height:1.5pt" o:hralign="center" o:hrstd="t" o:hr="t" fillcolor="#a0a0a0" stroked="f"/>
        </w:pict>
      </w:r>
    </w:p>
    <w:p w14:paraId="732100DA" w14:textId="77777777" w:rsidR="0037606E" w:rsidRPr="0037606E" w:rsidRDefault="0037606E" w:rsidP="0037606E">
      <w:pPr>
        <w:rPr>
          <w:b/>
          <w:bCs/>
        </w:rPr>
      </w:pPr>
      <w:r w:rsidRPr="0037606E">
        <w:rPr>
          <w:rFonts w:ascii="Segoe UI Emoji" w:hAnsi="Segoe UI Emoji" w:cs="Segoe UI Emoji"/>
          <w:b/>
          <w:bCs/>
        </w:rPr>
        <w:t>✅</w:t>
      </w:r>
      <w:r w:rsidRPr="0037606E">
        <w:rPr>
          <w:b/>
          <w:bCs/>
        </w:rPr>
        <w:t xml:space="preserve"> </w:t>
      </w:r>
      <w:proofErr w:type="spellStart"/>
      <w:r w:rsidRPr="0037606E">
        <w:rPr>
          <w:b/>
          <w:bCs/>
        </w:rPr>
        <w:t>Requirements</w:t>
      </w:r>
      <w:proofErr w:type="spellEnd"/>
    </w:p>
    <w:p w14:paraId="542A8F60" w14:textId="77777777" w:rsidR="0037606E" w:rsidRPr="0037606E" w:rsidRDefault="0037606E" w:rsidP="0037606E">
      <w:pPr>
        <w:numPr>
          <w:ilvl w:val="0"/>
          <w:numId w:val="2"/>
        </w:numPr>
        <w:rPr>
          <w:lang w:val="en-GB"/>
        </w:rPr>
      </w:pPr>
      <w:r w:rsidRPr="0037606E">
        <w:rPr>
          <w:lang w:val="en-GB"/>
        </w:rPr>
        <w:t xml:space="preserve">A minimum shareholding of </w:t>
      </w:r>
      <w:r w:rsidRPr="0037606E">
        <w:rPr>
          <w:b/>
          <w:bCs/>
          <w:lang w:val="en-GB"/>
        </w:rPr>
        <w:t>5%</w:t>
      </w:r>
      <w:r w:rsidRPr="0037606E">
        <w:rPr>
          <w:lang w:val="en-GB"/>
        </w:rPr>
        <w:t xml:space="preserve"> or an acquisition value exceeding </w:t>
      </w:r>
      <w:r w:rsidRPr="0037606E">
        <w:rPr>
          <w:b/>
          <w:bCs/>
          <w:lang w:val="en-GB"/>
        </w:rPr>
        <w:t>€20 million</w:t>
      </w:r>
      <w:r w:rsidRPr="0037606E">
        <w:rPr>
          <w:lang w:val="en-GB"/>
        </w:rPr>
        <w:t xml:space="preserve"> in the non-resident entity.</w:t>
      </w:r>
    </w:p>
    <w:p w14:paraId="7FCB2A2A" w14:textId="77777777" w:rsidR="0037606E" w:rsidRPr="0037606E" w:rsidRDefault="0037606E" w:rsidP="0037606E">
      <w:pPr>
        <w:numPr>
          <w:ilvl w:val="0"/>
          <w:numId w:val="2"/>
        </w:numPr>
        <w:rPr>
          <w:lang w:val="en-GB"/>
        </w:rPr>
      </w:pPr>
      <w:r w:rsidRPr="0037606E">
        <w:rPr>
          <w:lang w:val="en-GB"/>
        </w:rPr>
        <w:t xml:space="preserve">The non-resident entity must be subject to a tax system </w:t>
      </w:r>
      <w:r w:rsidRPr="0037606E">
        <w:rPr>
          <w:b/>
          <w:bCs/>
          <w:lang w:val="en-GB"/>
        </w:rPr>
        <w:t>equivalent to the Spanish Corporate Income Tax</w:t>
      </w:r>
      <w:r w:rsidRPr="0037606E">
        <w:rPr>
          <w:lang w:val="en-GB"/>
        </w:rPr>
        <w:t>.</w:t>
      </w:r>
    </w:p>
    <w:p w14:paraId="301D9AB9" w14:textId="77777777" w:rsidR="0037606E" w:rsidRPr="0037606E" w:rsidRDefault="0037606E" w:rsidP="0037606E">
      <w:pPr>
        <w:numPr>
          <w:ilvl w:val="0"/>
          <w:numId w:val="2"/>
        </w:numPr>
        <w:rPr>
          <w:lang w:val="en-GB"/>
        </w:rPr>
      </w:pPr>
      <w:r w:rsidRPr="0037606E">
        <w:rPr>
          <w:lang w:val="en-GB"/>
        </w:rPr>
        <w:t xml:space="preserve">Income must originate from </w:t>
      </w:r>
      <w:r w:rsidRPr="0037606E">
        <w:rPr>
          <w:b/>
          <w:bCs/>
          <w:lang w:val="en-GB"/>
        </w:rPr>
        <w:t>genuine business activities</w:t>
      </w:r>
      <w:r w:rsidRPr="0037606E">
        <w:rPr>
          <w:lang w:val="en-GB"/>
        </w:rPr>
        <w:t>.</w:t>
      </w:r>
    </w:p>
    <w:p w14:paraId="7AC582A5" w14:textId="77777777" w:rsidR="0037606E" w:rsidRPr="0037606E" w:rsidRDefault="0037606E" w:rsidP="0037606E">
      <w:r w:rsidRPr="0037606E">
        <w:pict w14:anchorId="415601E8">
          <v:rect id="_x0000_i1045" style="width:0;height:1.5pt" o:hralign="center" o:hrstd="t" o:hr="t" fillcolor="#a0a0a0" stroked="f"/>
        </w:pict>
      </w:r>
    </w:p>
    <w:p w14:paraId="0631F32C" w14:textId="77777777" w:rsidR="0037606E" w:rsidRPr="0037606E" w:rsidRDefault="0037606E" w:rsidP="0037606E">
      <w:pPr>
        <w:rPr>
          <w:b/>
          <w:bCs/>
        </w:rPr>
      </w:pPr>
      <w:r w:rsidRPr="0037606E">
        <w:rPr>
          <w:rFonts w:ascii="Segoe UI Emoji" w:hAnsi="Segoe UI Emoji" w:cs="Segoe UI Emoji"/>
          <w:b/>
          <w:bCs/>
        </w:rPr>
        <w:t>✅</w:t>
      </w:r>
      <w:r w:rsidRPr="0037606E">
        <w:rPr>
          <w:b/>
          <w:bCs/>
        </w:rPr>
        <w:t xml:space="preserve"> </w:t>
      </w:r>
      <w:proofErr w:type="spellStart"/>
      <w:r w:rsidRPr="0037606E">
        <w:rPr>
          <w:b/>
          <w:bCs/>
        </w:rPr>
        <w:t>Benefits</w:t>
      </w:r>
      <w:proofErr w:type="spellEnd"/>
      <w:r w:rsidRPr="0037606E">
        <w:rPr>
          <w:b/>
          <w:bCs/>
        </w:rPr>
        <w:t xml:space="preserve"> </w:t>
      </w:r>
      <w:proofErr w:type="spellStart"/>
      <w:r w:rsidRPr="0037606E">
        <w:rPr>
          <w:b/>
          <w:bCs/>
        </w:rPr>
        <w:t>for</w:t>
      </w:r>
      <w:proofErr w:type="spellEnd"/>
      <w:r w:rsidRPr="0037606E">
        <w:rPr>
          <w:b/>
          <w:bCs/>
        </w:rPr>
        <w:t xml:space="preserve"> Non-</w:t>
      </w:r>
      <w:proofErr w:type="spellStart"/>
      <w:r w:rsidRPr="0037606E">
        <w:rPr>
          <w:b/>
          <w:bCs/>
        </w:rPr>
        <w:t>Residents</w:t>
      </w:r>
      <w:proofErr w:type="spellEnd"/>
    </w:p>
    <w:p w14:paraId="454AA2F2" w14:textId="77777777" w:rsidR="0037606E" w:rsidRPr="0037606E" w:rsidRDefault="0037606E" w:rsidP="0037606E">
      <w:pPr>
        <w:numPr>
          <w:ilvl w:val="0"/>
          <w:numId w:val="3"/>
        </w:numPr>
        <w:rPr>
          <w:lang w:val="en-GB"/>
        </w:rPr>
      </w:pPr>
      <w:r w:rsidRPr="0037606E">
        <w:rPr>
          <w:b/>
          <w:bCs/>
          <w:lang w:val="en-GB"/>
        </w:rPr>
        <w:t>Dividend withholding tax exemption</w:t>
      </w:r>
      <w:r w:rsidRPr="0037606E">
        <w:rPr>
          <w:lang w:val="en-GB"/>
        </w:rPr>
        <w:t xml:space="preserve">: Non-resident shareholders are not subject to Spanish withholding tax on dividends paid by the ETVE, making Spain an </w:t>
      </w:r>
      <w:r w:rsidRPr="0037606E">
        <w:rPr>
          <w:b/>
          <w:bCs/>
          <w:lang w:val="en-GB"/>
        </w:rPr>
        <w:t>attractive jurisdiction for international investment</w:t>
      </w:r>
      <w:r w:rsidRPr="0037606E">
        <w:rPr>
          <w:lang w:val="en-GB"/>
        </w:rPr>
        <w:t>.</w:t>
      </w:r>
    </w:p>
    <w:p w14:paraId="5B59EE16" w14:textId="77777777" w:rsidR="0037606E" w:rsidRPr="0037606E" w:rsidRDefault="0037606E" w:rsidP="0037606E">
      <w:pPr>
        <w:numPr>
          <w:ilvl w:val="0"/>
          <w:numId w:val="3"/>
        </w:numPr>
        <w:rPr>
          <w:lang w:val="en-GB"/>
        </w:rPr>
      </w:pPr>
      <w:r w:rsidRPr="0037606E">
        <w:rPr>
          <w:b/>
          <w:bCs/>
          <w:lang w:val="en-GB"/>
        </w:rPr>
        <w:lastRenderedPageBreak/>
        <w:t>Access to double tax treaties</w:t>
      </w:r>
      <w:r w:rsidRPr="0037606E">
        <w:rPr>
          <w:lang w:val="en-GB"/>
        </w:rPr>
        <w:t xml:space="preserve">: Spain has an extensive network of treaties that help </w:t>
      </w:r>
      <w:r w:rsidRPr="0037606E">
        <w:rPr>
          <w:b/>
          <w:bCs/>
          <w:lang w:val="en-GB"/>
        </w:rPr>
        <w:t>avoid double taxation</w:t>
      </w:r>
      <w:r w:rsidRPr="0037606E">
        <w:rPr>
          <w:lang w:val="en-GB"/>
        </w:rPr>
        <w:t>, facilitating profit repatriation.</w:t>
      </w:r>
    </w:p>
    <w:p w14:paraId="240FA978" w14:textId="77777777" w:rsidR="0037606E" w:rsidRPr="0037606E" w:rsidRDefault="0037606E" w:rsidP="0037606E">
      <w:pPr>
        <w:numPr>
          <w:ilvl w:val="0"/>
          <w:numId w:val="3"/>
        </w:numPr>
        <w:rPr>
          <w:lang w:val="en-GB"/>
        </w:rPr>
      </w:pPr>
      <w:r w:rsidRPr="0037606E">
        <w:rPr>
          <w:b/>
          <w:bCs/>
          <w:lang w:val="en-GB"/>
        </w:rPr>
        <w:t>International tax optimization</w:t>
      </w:r>
      <w:r w:rsidRPr="0037606E">
        <w:rPr>
          <w:lang w:val="en-GB"/>
        </w:rPr>
        <w:t xml:space="preserve">: The ETVE structure offers an efficient legal framework for </w:t>
      </w:r>
      <w:r w:rsidRPr="0037606E">
        <w:rPr>
          <w:b/>
          <w:bCs/>
          <w:lang w:val="en-GB"/>
        </w:rPr>
        <w:t>international tax planning</w:t>
      </w:r>
      <w:r w:rsidRPr="0037606E">
        <w:rPr>
          <w:lang w:val="en-GB"/>
        </w:rPr>
        <w:t xml:space="preserve">, allowing investment flows and profits to be </w:t>
      </w:r>
      <w:proofErr w:type="spellStart"/>
      <w:r w:rsidRPr="0037606E">
        <w:rPr>
          <w:lang w:val="en-GB"/>
        </w:rPr>
        <w:t>channeled</w:t>
      </w:r>
      <w:proofErr w:type="spellEnd"/>
      <w:r w:rsidRPr="0037606E">
        <w:rPr>
          <w:lang w:val="en-GB"/>
        </w:rPr>
        <w:t xml:space="preserve"> through Spain with low or zero taxation.</w:t>
      </w:r>
    </w:p>
    <w:p w14:paraId="07E53484" w14:textId="77777777" w:rsidR="0037606E" w:rsidRPr="0037606E" w:rsidRDefault="0037606E" w:rsidP="0037606E">
      <w:pPr>
        <w:numPr>
          <w:ilvl w:val="0"/>
          <w:numId w:val="3"/>
        </w:numPr>
        <w:rPr>
          <w:lang w:val="en-GB"/>
        </w:rPr>
      </w:pPr>
      <w:r w:rsidRPr="0037606E">
        <w:rPr>
          <w:b/>
          <w:bCs/>
          <w:lang w:val="en-GB"/>
        </w:rPr>
        <w:t>Legal and fiscal stability</w:t>
      </w:r>
      <w:r w:rsidRPr="0037606E">
        <w:rPr>
          <w:lang w:val="en-GB"/>
        </w:rPr>
        <w:t xml:space="preserve">: As a member of the EU, Spain provides a </w:t>
      </w:r>
      <w:r w:rsidRPr="0037606E">
        <w:rPr>
          <w:b/>
          <w:bCs/>
          <w:lang w:val="en-GB"/>
        </w:rPr>
        <w:t>secure and predictable regulatory environment</w:t>
      </w:r>
      <w:r w:rsidRPr="0037606E">
        <w:rPr>
          <w:lang w:val="en-GB"/>
        </w:rPr>
        <w:t>, enhancing investor confidence.</w:t>
      </w:r>
    </w:p>
    <w:p w14:paraId="266E2690" w14:textId="77777777" w:rsidR="0037606E" w:rsidRPr="0037606E" w:rsidRDefault="0037606E">
      <w:pPr>
        <w:rPr>
          <w:lang w:val="en-GB"/>
        </w:rPr>
      </w:pPr>
    </w:p>
    <w:sectPr w:rsidR="0037606E" w:rsidRPr="003760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76D27"/>
    <w:multiLevelType w:val="multilevel"/>
    <w:tmpl w:val="8214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A42892"/>
    <w:multiLevelType w:val="multilevel"/>
    <w:tmpl w:val="2E5E1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AC0C73"/>
    <w:multiLevelType w:val="multilevel"/>
    <w:tmpl w:val="A0F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994072">
    <w:abstractNumId w:val="1"/>
  </w:num>
  <w:num w:numId="2" w16cid:durableId="343671960">
    <w:abstractNumId w:val="0"/>
  </w:num>
  <w:num w:numId="3" w16cid:durableId="1140923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6E"/>
    <w:rsid w:val="0037606E"/>
    <w:rsid w:val="00B0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B0D1F"/>
  <w15:chartTrackingRefBased/>
  <w15:docId w15:val="{8B18FD30-F2E9-4517-BB8A-0EBF804F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6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6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6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6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6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6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6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6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6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6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6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6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606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606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60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60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60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60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6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6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6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6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6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606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60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606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6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606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60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1883</Characters>
  <Application>Microsoft Office Word</Application>
  <DocSecurity>0</DocSecurity>
  <Lines>41</Lines>
  <Paragraphs>29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Martínez Ramos</dc:creator>
  <cp:keywords/>
  <dc:description/>
  <cp:lastModifiedBy>Mario Martínez Ramos</cp:lastModifiedBy>
  <cp:revision>1</cp:revision>
  <dcterms:created xsi:type="dcterms:W3CDTF">2025-10-12T11:16:00Z</dcterms:created>
  <dcterms:modified xsi:type="dcterms:W3CDTF">2025-10-12T11:17:00Z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269cc82d-0021-4559-b341-6961045d3e6a</vt:lpwstr>
  </property>
</Properties>
</file>